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  <w:bookmarkStart w:id="0" w:name="_GoBack"/>
      <w:bookmarkEnd w:id="0"/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268"/>
      </w:tblGrid>
      <w:tr>
        <w:trPr>
          <w:trHeight w:val="11333" w:hRule="exact"/>
        </w:trPr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33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34"/>
              </w:rPr>
              <w:t>入　札　理　由　書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default" w:eastAsia="Times New Roman"/>
              </w:rPr>
              <w:t xml:space="preserve">  </w:t>
            </w:r>
            <w:r>
              <w:rPr>
                <w:rFonts w:hint="eastAsia" w:ascii="ＭＳ 明朝" w:hAnsi="ＭＳ 明朝"/>
              </w:rPr>
              <w:t>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default" w:eastAsia="Times New Roman"/>
              </w:rPr>
              <w:t xml:space="preserve">  </w:t>
            </w:r>
            <w:r>
              <w:rPr>
                <w:rFonts w:hint="eastAsia" w:ascii="ＭＳ 明朝" w:hAnsi="ＭＳ 明朝"/>
              </w:rPr>
              <w:t>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default" w:eastAsia="Times New Roman"/>
              </w:rPr>
              <w:t xml:space="preserve">  </w:t>
            </w:r>
            <w:r>
              <w:rPr>
                <w:rFonts w:hint="eastAsia" w:ascii="ＭＳ 明朝" w:hAnsi="ＭＳ 明朝"/>
              </w:rPr>
              <w:t>工事場所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４</w:t>
            </w:r>
            <w:r>
              <w:rPr>
                <w:rFonts w:hint="default" w:eastAsia="Times New Roman"/>
              </w:rPr>
              <w:t xml:space="preserve">  </w:t>
            </w:r>
            <w:r>
              <w:rPr>
                <w:rFonts w:hint="eastAsia" w:ascii="ＭＳ 明朝" w:hAnsi="ＭＳ 明朝"/>
              </w:rPr>
              <w:t>入札金額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５</w:t>
            </w:r>
            <w:r>
              <w:rPr>
                <w:rFonts w:hint="default" w:eastAsia="Times New Roman"/>
              </w:rPr>
              <w:t xml:space="preserve">  </w:t>
            </w:r>
            <w:r>
              <w:rPr>
                <w:rFonts w:hint="eastAsia" w:ascii="ＭＳ 明朝" w:hAnsi="ＭＳ 明朝"/>
              </w:rPr>
              <w:t>入札理由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 w:eastAsiaTheme="minorEastAsi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   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当該価格で入札した理由を、労務費、手持ち資材の状況、手持ち機械の状況、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下請け業者等の協力等からの面から具体的に記載する。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なお、当該価格で入札した結果、安全で良質な施工を行うことは当然である。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（記載例）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・本工事に必要な機械（○○）や資材（△△）を所有しており経費節減が可能である。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・○○、△△の資材購入先、及び○○工、△△工の下請け会社と長年にわたり取引を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しているため信頼関係があり、価格協力を得ることができる。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・同種工事の施工経験がある技術者を配置することで、材料・施工の品質管理の確保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や安全管理の徹底、創意工夫による○○日の工期短縮（△△工で▽▽することで○○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日短縮）が可能であり、当該価格で工事品質を低下させることなく安全で良質な施工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ができる。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15"/>
              <w:rPr>
                <w:rFonts w:hint="default" w:eastAsiaTheme="minorEastAsia"/>
              </w:rPr>
            </w:pPr>
          </w:p>
          <w:p>
            <w:pPr>
              <w:pStyle w:val="15"/>
              <w:rPr>
                <w:rFonts w:hint="default" w:eastAsiaTheme="minorEastAsia"/>
              </w:rPr>
            </w:pPr>
          </w:p>
        </w:tc>
      </w:tr>
    </w:tbl>
    <w:p>
      <w:pPr>
        <w:pStyle w:val="15"/>
        <w:spacing w:line="228" w:lineRule="exact"/>
        <w:rPr>
          <w:rFonts w:hint="default"/>
        </w:rPr>
      </w:pPr>
    </w:p>
    <w:p>
      <w:pPr>
        <w:pStyle w:val="15"/>
        <w:ind w:left="315" w:leftChars="100" w:hanging="105" w:hangingChars="50"/>
        <w:rPr>
          <w:rFonts w:hint="default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当該価格で入札した理由を、労務費、手持ち工事の状況、当該工事現場と事務所・倉庫との関係、手持ち資材の状況、手持ち機械の状況、下請け業者等の協力等からの面から記載すること。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126</Words>
  <Characters>48</Characters>
  <Application>JUST Note</Application>
  <Lines>1</Lines>
  <Paragraphs>1</Paragraphs>
  <CharactersWithSpaces>173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　泰典</dc:creator>
  <cp:lastModifiedBy>谷口哲也</cp:lastModifiedBy>
  <dcterms:created xsi:type="dcterms:W3CDTF">2019-06-18T05:14:00Z</dcterms:created>
  <dcterms:modified xsi:type="dcterms:W3CDTF">2024-06-25T22:27:12Z</dcterms:modified>
  <cp:revision>3</cp:revision>
</cp:coreProperties>
</file>